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5CD83" w14:textId="77777777" w:rsidR="00F41049" w:rsidRDefault="00F41049" w:rsidP="00F41049">
      <w:pPr>
        <w:rPr>
          <w:rFonts w:ascii="Century Gothic" w:hAnsi="Century Gothic"/>
          <w:b/>
          <w:bCs/>
        </w:rPr>
      </w:pPr>
      <w:r w:rsidRPr="003656A1">
        <w:rPr>
          <w:rFonts w:ascii="Century Gothic" w:hAnsi="Century Gothic"/>
          <w:b/>
          <w:bCs/>
        </w:rPr>
        <w:t>The Importance of Monitoring SEND Across Curriculum Subject Departments</w:t>
      </w:r>
    </w:p>
    <w:p w14:paraId="0B4A0D3C" w14:textId="77777777" w:rsidR="00F41049" w:rsidRPr="003656A1" w:rsidRDefault="00F41049" w:rsidP="00F41049">
      <w:pPr>
        <w:rPr>
          <w:rFonts w:ascii="Century Gothic" w:hAnsi="Century Gothic"/>
        </w:rPr>
      </w:pPr>
    </w:p>
    <w:p w14:paraId="32EA66FA" w14:textId="77777777" w:rsidR="00F41049" w:rsidRDefault="00F41049" w:rsidP="00F41049">
      <w:pPr>
        <w:rPr>
          <w:rFonts w:ascii="Century Gothic" w:hAnsi="Century Gothic"/>
        </w:rPr>
      </w:pPr>
      <w:r>
        <w:rPr>
          <w:rFonts w:ascii="Century Gothic" w:hAnsi="Century Gothic"/>
        </w:rPr>
        <w:t>The</w:t>
      </w:r>
      <w:r w:rsidRPr="003656A1">
        <w:rPr>
          <w:rFonts w:ascii="Century Gothic" w:hAnsi="Century Gothic"/>
        </w:rPr>
        <w:t xml:space="preserve"> education of students with Special Educational Needs and Disabilities (SEND) is underpinned by the </w:t>
      </w:r>
      <w:r w:rsidRPr="003656A1">
        <w:rPr>
          <w:rFonts w:ascii="Century Gothic" w:hAnsi="Century Gothic"/>
          <w:i/>
          <w:iCs/>
        </w:rPr>
        <w:t>SEND Code of Practice 2015</w:t>
      </w:r>
      <w:r w:rsidRPr="003656A1">
        <w:rPr>
          <w:rFonts w:ascii="Century Gothic" w:hAnsi="Century Gothic"/>
        </w:rPr>
        <w:t xml:space="preserve">. This statutory framework sets out the legal obligations of schools and educational providers to ensure that students with SEND receive the support they need to succeed. As part of these responsibilities, all teachers are considered teachers of SEND, and this extends to every curriculum subject department. Monitoring SEND progress within departments is essential not only to comply with these statutory duties but also to promote the inclusive ethos </w:t>
      </w:r>
      <w:r>
        <w:rPr>
          <w:rFonts w:ascii="Century Gothic" w:hAnsi="Century Gothic"/>
        </w:rPr>
        <w:t>advocated by</w:t>
      </w:r>
      <w:r w:rsidRPr="003656A1">
        <w:rPr>
          <w:rFonts w:ascii="Century Gothic" w:hAnsi="Century Gothic"/>
        </w:rPr>
        <w:t xml:space="preserve"> the Code of Practice</w:t>
      </w:r>
      <w:r>
        <w:rPr>
          <w:rFonts w:ascii="Century Gothic" w:hAnsi="Century Gothic"/>
        </w:rPr>
        <w:t>.</w:t>
      </w:r>
    </w:p>
    <w:p w14:paraId="657D56CA" w14:textId="77777777" w:rsidR="00F41049" w:rsidRPr="003656A1" w:rsidRDefault="00F41049" w:rsidP="00F41049">
      <w:pPr>
        <w:rPr>
          <w:rFonts w:ascii="Century Gothic" w:hAnsi="Century Gothic"/>
        </w:rPr>
      </w:pPr>
    </w:p>
    <w:p w14:paraId="147778A6" w14:textId="77777777" w:rsidR="00F41049" w:rsidRDefault="00F41049" w:rsidP="00F41049">
      <w:pPr>
        <w:rPr>
          <w:rFonts w:ascii="Century Gothic" w:hAnsi="Century Gothic"/>
        </w:rPr>
      </w:pPr>
      <w:r w:rsidRPr="003656A1">
        <w:rPr>
          <w:rFonts w:ascii="Century Gothic" w:hAnsi="Century Gothic"/>
        </w:rPr>
        <w:t xml:space="preserve">Each curriculum department has a unique role in supporting SEND students. The </w:t>
      </w:r>
      <w:r w:rsidRPr="003656A1">
        <w:rPr>
          <w:rFonts w:ascii="Century Gothic" w:hAnsi="Century Gothic"/>
          <w:i/>
          <w:iCs/>
        </w:rPr>
        <w:t>SEND Code of Practice</w:t>
      </w:r>
      <w:r w:rsidRPr="003656A1">
        <w:rPr>
          <w:rFonts w:ascii="Century Gothic" w:hAnsi="Century Gothic"/>
        </w:rPr>
        <w:t xml:space="preserve"> highlights the need for differentiated teaching to meet individual needs, a task that requires ongoing monitoring to identify which strategies are working and where improvements are needed. For instance, in subjects like Math</w:t>
      </w:r>
      <w:r>
        <w:rPr>
          <w:rFonts w:ascii="Century Gothic" w:hAnsi="Century Gothic"/>
        </w:rPr>
        <w:t>s</w:t>
      </w:r>
      <w:r w:rsidRPr="003656A1">
        <w:rPr>
          <w:rFonts w:ascii="Century Gothic" w:hAnsi="Century Gothic"/>
        </w:rPr>
        <w:t>, Science, or English, SEND students may require specific accommodations such as additional visual aids, adapted tasks, or extra time to process information. In practical subjects like PE or Art, modifications to equipment, physical space, or peer support strategies might be necessary.</w:t>
      </w:r>
    </w:p>
    <w:p w14:paraId="465C360C" w14:textId="77777777" w:rsidR="00F41049" w:rsidRPr="003656A1" w:rsidRDefault="00F41049" w:rsidP="00F41049">
      <w:pPr>
        <w:rPr>
          <w:rFonts w:ascii="Century Gothic" w:hAnsi="Century Gothic"/>
        </w:rPr>
      </w:pPr>
    </w:p>
    <w:p w14:paraId="5A92379C" w14:textId="77777777" w:rsidR="00F41049" w:rsidRDefault="00F41049" w:rsidP="00F41049">
      <w:pPr>
        <w:rPr>
          <w:rFonts w:ascii="Century Gothic" w:hAnsi="Century Gothic"/>
        </w:rPr>
      </w:pPr>
      <w:r w:rsidRPr="003656A1">
        <w:rPr>
          <w:rFonts w:ascii="Century Gothic" w:hAnsi="Century Gothic"/>
        </w:rPr>
        <w:t>The statutory guidance emphasi</w:t>
      </w:r>
      <w:r>
        <w:rPr>
          <w:rFonts w:ascii="Century Gothic" w:hAnsi="Century Gothic"/>
        </w:rPr>
        <w:t>s</w:t>
      </w:r>
      <w:r w:rsidRPr="003656A1">
        <w:rPr>
          <w:rFonts w:ascii="Century Gothic" w:hAnsi="Century Gothic"/>
        </w:rPr>
        <w:t xml:space="preserve">es that schools must take a </w:t>
      </w:r>
      <w:r w:rsidRPr="003656A1">
        <w:rPr>
          <w:rFonts w:ascii="Century Gothic" w:hAnsi="Century Gothic"/>
          <w:i/>
          <w:iCs/>
        </w:rPr>
        <w:t>graduated approach</w:t>
      </w:r>
      <w:r w:rsidRPr="003656A1">
        <w:rPr>
          <w:rFonts w:ascii="Century Gothic" w:hAnsi="Century Gothic"/>
        </w:rPr>
        <w:t xml:space="preserve"> to SEND support, using a cycle of “Assess, Plan, Do, Review” to monitor and adapt the provision for each student. Curriculum-specific monitoring allows each department to assess how well SEND students are engaging with the subject, plan appropriate support, implement strategies, and review the outcomes. This ensures that teachers are actively involved in meeting the diverse needs of SEND learners. Without this subject-level insight, departments may miss critical opportunities to refine their teaching methods and resources to enhance the accessibility and learning experience for SEND students.</w:t>
      </w:r>
    </w:p>
    <w:p w14:paraId="366C3FED" w14:textId="77777777" w:rsidR="00F41049" w:rsidRPr="003656A1" w:rsidRDefault="00F41049" w:rsidP="00F41049">
      <w:pPr>
        <w:rPr>
          <w:rFonts w:ascii="Century Gothic" w:hAnsi="Century Gothic"/>
        </w:rPr>
      </w:pPr>
    </w:p>
    <w:p w14:paraId="71DD4248" w14:textId="77777777" w:rsidR="00F41049" w:rsidRDefault="00F41049" w:rsidP="00F41049">
      <w:pPr>
        <w:rPr>
          <w:rFonts w:ascii="Century Gothic" w:hAnsi="Century Gothic"/>
        </w:rPr>
      </w:pPr>
      <w:r w:rsidRPr="003656A1">
        <w:rPr>
          <w:rFonts w:ascii="Century Gothic" w:hAnsi="Century Gothic"/>
        </w:rPr>
        <w:t xml:space="preserve">By regularly monitoring SEND engagement and progress, departments can also provide the data needed for school leadership and external bodies, such as Ofsted, to demonstrate compliance with the </w:t>
      </w:r>
      <w:r w:rsidRPr="003656A1">
        <w:rPr>
          <w:rFonts w:ascii="Century Gothic" w:hAnsi="Century Gothic"/>
          <w:i/>
          <w:iCs/>
        </w:rPr>
        <w:t>Equality Act 2010</w:t>
      </w:r>
      <w:r w:rsidRPr="003656A1">
        <w:rPr>
          <w:rFonts w:ascii="Century Gothic" w:hAnsi="Century Gothic"/>
        </w:rPr>
        <w:t>, which mandates that reasonable adjustments are made for students with disabilities. Failure to monitor and support SEND students adequately within each subject could lead to non-compliance with statutory duties and, more importantly, impede the educational development of vulnerable learners.</w:t>
      </w:r>
    </w:p>
    <w:p w14:paraId="5044C688" w14:textId="77777777" w:rsidR="00F41049" w:rsidRPr="003656A1" w:rsidRDefault="00F41049" w:rsidP="00F41049">
      <w:pPr>
        <w:rPr>
          <w:rFonts w:ascii="Century Gothic" w:hAnsi="Century Gothic"/>
        </w:rPr>
      </w:pPr>
    </w:p>
    <w:p w14:paraId="79812B57" w14:textId="77777777" w:rsidR="00F41049" w:rsidRDefault="00F41049" w:rsidP="00F41049">
      <w:pPr>
        <w:rPr>
          <w:rFonts w:ascii="Century Gothic" w:hAnsi="Century Gothic"/>
        </w:rPr>
      </w:pPr>
      <w:r w:rsidRPr="003656A1">
        <w:rPr>
          <w:rFonts w:ascii="Century Gothic" w:hAnsi="Century Gothic"/>
        </w:rPr>
        <w:t xml:space="preserve">While curriculum departments are integral to supporting SEND students, coordination and oversight are vital for ensuring that a consistent approach is maintained across the school. The </w:t>
      </w:r>
      <w:r w:rsidRPr="003656A1">
        <w:rPr>
          <w:rFonts w:ascii="Century Gothic" w:hAnsi="Century Gothic"/>
          <w:i/>
          <w:iCs/>
        </w:rPr>
        <w:t>SEND Code of Practice</w:t>
      </w:r>
      <w:r w:rsidRPr="003656A1">
        <w:rPr>
          <w:rFonts w:ascii="Century Gothic" w:hAnsi="Century Gothic"/>
        </w:rPr>
        <w:t xml:space="preserve"> places the </w:t>
      </w:r>
      <w:r w:rsidRPr="003656A1">
        <w:rPr>
          <w:rFonts w:ascii="Century Gothic" w:hAnsi="Century Gothic"/>
        </w:rPr>
        <w:lastRenderedPageBreak/>
        <w:t>SEN</w:t>
      </w:r>
      <w:r>
        <w:rPr>
          <w:rFonts w:ascii="Century Gothic" w:hAnsi="Century Gothic"/>
        </w:rPr>
        <w:t>D</w:t>
      </w:r>
      <w:r w:rsidRPr="003656A1">
        <w:rPr>
          <w:rFonts w:ascii="Century Gothic" w:hAnsi="Century Gothic"/>
        </w:rPr>
        <w:t>C</w:t>
      </w:r>
      <w:r>
        <w:rPr>
          <w:rFonts w:ascii="Century Gothic" w:hAnsi="Century Gothic"/>
        </w:rPr>
        <w:t>o</w:t>
      </w:r>
      <w:r w:rsidRPr="003656A1">
        <w:rPr>
          <w:rFonts w:ascii="Century Gothic" w:hAnsi="Century Gothic"/>
        </w:rPr>
        <w:t xml:space="preserve"> at the heart of this process, making them responsible for the strategic coordination of SEND provision. To fulfil this role effectively, the SEN</w:t>
      </w:r>
      <w:r>
        <w:rPr>
          <w:rFonts w:ascii="Century Gothic" w:hAnsi="Century Gothic"/>
        </w:rPr>
        <w:t>D</w:t>
      </w:r>
      <w:r w:rsidRPr="003656A1">
        <w:rPr>
          <w:rFonts w:ascii="Century Gothic" w:hAnsi="Century Gothic"/>
        </w:rPr>
        <w:t>C</w:t>
      </w:r>
      <w:r>
        <w:rPr>
          <w:rFonts w:ascii="Century Gothic" w:hAnsi="Century Gothic"/>
        </w:rPr>
        <w:t>o</w:t>
      </w:r>
      <w:r w:rsidRPr="003656A1">
        <w:rPr>
          <w:rFonts w:ascii="Century Gothic" w:hAnsi="Century Gothic"/>
        </w:rPr>
        <w:t xml:space="preserve"> must have a clear understanding of how SEND students are progressing across all curriculum areas.</w:t>
      </w:r>
    </w:p>
    <w:p w14:paraId="6B68A3EF" w14:textId="77777777" w:rsidR="00F41049" w:rsidRPr="003656A1" w:rsidRDefault="00F41049" w:rsidP="00F41049">
      <w:pPr>
        <w:rPr>
          <w:rFonts w:ascii="Century Gothic" w:hAnsi="Century Gothic"/>
        </w:rPr>
      </w:pPr>
    </w:p>
    <w:p w14:paraId="2866076E" w14:textId="77777777" w:rsidR="00F41049" w:rsidRPr="003656A1" w:rsidRDefault="00F41049" w:rsidP="00F41049">
      <w:pPr>
        <w:rPr>
          <w:rFonts w:ascii="Century Gothic" w:hAnsi="Century Gothic"/>
        </w:rPr>
      </w:pPr>
      <w:r w:rsidRPr="003656A1">
        <w:rPr>
          <w:rFonts w:ascii="Century Gothic" w:hAnsi="Century Gothic"/>
        </w:rPr>
        <w:t>Sharing key findings from departmental SEND monitoring with the SEN</w:t>
      </w:r>
      <w:r>
        <w:rPr>
          <w:rFonts w:ascii="Century Gothic" w:hAnsi="Century Gothic"/>
        </w:rPr>
        <w:t>D</w:t>
      </w:r>
      <w:r w:rsidRPr="003656A1">
        <w:rPr>
          <w:rFonts w:ascii="Century Gothic" w:hAnsi="Century Gothic"/>
        </w:rPr>
        <w:t>C</w:t>
      </w:r>
      <w:r>
        <w:rPr>
          <w:rFonts w:ascii="Century Gothic" w:hAnsi="Century Gothic"/>
        </w:rPr>
        <w:t>o</w:t>
      </w:r>
      <w:r w:rsidRPr="003656A1">
        <w:rPr>
          <w:rFonts w:ascii="Century Gothic" w:hAnsi="Century Gothic"/>
        </w:rPr>
        <w:t xml:space="preserve"> is not only best practice but also a statutory requirement under the </w:t>
      </w:r>
      <w:r w:rsidRPr="003656A1">
        <w:rPr>
          <w:rFonts w:ascii="Century Gothic" w:hAnsi="Century Gothic"/>
          <w:i/>
          <w:iCs/>
        </w:rPr>
        <w:t>SEND Code of Practice</w:t>
      </w:r>
      <w:r w:rsidRPr="003656A1">
        <w:rPr>
          <w:rFonts w:ascii="Century Gothic" w:hAnsi="Century Gothic"/>
        </w:rPr>
        <w:t>. It enables the SEN</w:t>
      </w:r>
      <w:r>
        <w:rPr>
          <w:rFonts w:ascii="Century Gothic" w:hAnsi="Century Gothic"/>
        </w:rPr>
        <w:t>D</w:t>
      </w:r>
      <w:r w:rsidRPr="003656A1">
        <w:rPr>
          <w:rFonts w:ascii="Century Gothic" w:hAnsi="Century Gothic"/>
        </w:rPr>
        <w:t>C</w:t>
      </w:r>
      <w:r>
        <w:rPr>
          <w:rFonts w:ascii="Century Gothic" w:hAnsi="Century Gothic"/>
        </w:rPr>
        <w:t>o</w:t>
      </w:r>
      <w:r w:rsidRPr="003656A1">
        <w:rPr>
          <w:rFonts w:ascii="Century Gothic" w:hAnsi="Century Gothic"/>
        </w:rPr>
        <w:t xml:space="preserve"> to maintain a holistic view of each student’s needs and to identify trends or issues that may be arising across different subjects. This communication allows the SEN</w:t>
      </w:r>
      <w:r>
        <w:rPr>
          <w:rFonts w:ascii="Century Gothic" w:hAnsi="Century Gothic"/>
        </w:rPr>
        <w:t>D</w:t>
      </w:r>
      <w:r w:rsidRPr="003656A1">
        <w:rPr>
          <w:rFonts w:ascii="Century Gothic" w:hAnsi="Century Gothic"/>
        </w:rPr>
        <w:t>C</w:t>
      </w:r>
      <w:r>
        <w:rPr>
          <w:rFonts w:ascii="Century Gothic" w:hAnsi="Century Gothic"/>
        </w:rPr>
        <w:t>o</w:t>
      </w:r>
      <w:r w:rsidRPr="003656A1">
        <w:rPr>
          <w:rFonts w:ascii="Century Gothic" w:hAnsi="Century Gothic"/>
        </w:rPr>
        <w:t xml:space="preserve"> to ensure that the “Assess, Plan, Do, Review” cycle is being applied consistently throughout the school and that interventions are effectively tailored to each student’s needs.</w:t>
      </w:r>
    </w:p>
    <w:p w14:paraId="6D37C752" w14:textId="77777777" w:rsidR="00F41049" w:rsidRDefault="00F41049" w:rsidP="00F41049">
      <w:pPr>
        <w:rPr>
          <w:rFonts w:ascii="Century Gothic" w:hAnsi="Century Gothic"/>
        </w:rPr>
      </w:pPr>
      <w:r w:rsidRPr="003656A1">
        <w:rPr>
          <w:rFonts w:ascii="Century Gothic" w:hAnsi="Century Gothic"/>
        </w:rPr>
        <w:t>For example, a SEND student may perform well in structured, logic-based subjects like Mathematics but struggle with more open-ended, discussion-based subjects such as English or History. If subject-specific findings are shared with the SEN</w:t>
      </w:r>
      <w:r>
        <w:rPr>
          <w:rFonts w:ascii="Century Gothic" w:hAnsi="Century Gothic"/>
        </w:rPr>
        <w:t>D</w:t>
      </w:r>
      <w:r w:rsidRPr="003656A1">
        <w:rPr>
          <w:rFonts w:ascii="Century Gothic" w:hAnsi="Century Gothic"/>
        </w:rPr>
        <w:t>C</w:t>
      </w:r>
      <w:r>
        <w:rPr>
          <w:rFonts w:ascii="Century Gothic" w:hAnsi="Century Gothic"/>
        </w:rPr>
        <w:t>o</w:t>
      </w:r>
      <w:r w:rsidRPr="003656A1">
        <w:rPr>
          <w:rFonts w:ascii="Century Gothic" w:hAnsi="Century Gothic"/>
        </w:rPr>
        <w:t>, they can work with teachers to develop appropriate strategies across the board, ensuring a cohesive support plan is in place. The SEN</w:t>
      </w:r>
      <w:r>
        <w:rPr>
          <w:rFonts w:ascii="Century Gothic" w:hAnsi="Century Gothic"/>
        </w:rPr>
        <w:t>D</w:t>
      </w:r>
      <w:r w:rsidRPr="003656A1">
        <w:rPr>
          <w:rFonts w:ascii="Century Gothic" w:hAnsi="Century Gothic"/>
        </w:rPr>
        <w:t>C</w:t>
      </w:r>
      <w:r>
        <w:rPr>
          <w:rFonts w:ascii="Century Gothic" w:hAnsi="Century Gothic"/>
        </w:rPr>
        <w:t>o</w:t>
      </w:r>
      <w:r w:rsidRPr="003656A1">
        <w:rPr>
          <w:rFonts w:ascii="Century Gothic" w:hAnsi="Century Gothic"/>
        </w:rPr>
        <w:t xml:space="preserve"> can also use this information to liaise with external agencies, adjust individuali</w:t>
      </w:r>
      <w:r>
        <w:rPr>
          <w:rFonts w:ascii="Century Gothic" w:hAnsi="Century Gothic"/>
        </w:rPr>
        <w:t>s</w:t>
      </w:r>
      <w:r w:rsidRPr="003656A1">
        <w:rPr>
          <w:rFonts w:ascii="Century Gothic" w:hAnsi="Century Gothic"/>
        </w:rPr>
        <w:t>ed education plans (IEPs), or recommend additional support where necessary.</w:t>
      </w:r>
    </w:p>
    <w:p w14:paraId="0FE6961E" w14:textId="77777777" w:rsidR="00F41049" w:rsidRPr="003656A1" w:rsidRDefault="00F41049" w:rsidP="00F41049">
      <w:pPr>
        <w:rPr>
          <w:rFonts w:ascii="Century Gothic" w:hAnsi="Century Gothic"/>
        </w:rPr>
      </w:pPr>
    </w:p>
    <w:p w14:paraId="1C19C428" w14:textId="77777777" w:rsidR="00F41049" w:rsidRDefault="00F41049" w:rsidP="00F41049">
      <w:pPr>
        <w:rPr>
          <w:rFonts w:ascii="Century Gothic" w:hAnsi="Century Gothic"/>
        </w:rPr>
      </w:pPr>
      <w:r w:rsidRPr="003656A1">
        <w:rPr>
          <w:rFonts w:ascii="Century Gothic" w:hAnsi="Century Gothic"/>
        </w:rPr>
        <w:t>Moreover, the SEN</w:t>
      </w:r>
      <w:r>
        <w:rPr>
          <w:rFonts w:ascii="Century Gothic" w:hAnsi="Century Gothic"/>
        </w:rPr>
        <w:t>D</w:t>
      </w:r>
      <w:r w:rsidRPr="003656A1">
        <w:rPr>
          <w:rFonts w:ascii="Century Gothic" w:hAnsi="Century Gothic"/>
        </w:rPr>
        <w:t>C</w:t>
      </w:r>
      <w:r>
        <w:rPr>
          <w:rFonts w:ascii="Century Gothic" w:hAnsi="Century Gothic"/>
        </w:rPr>
        <w:t>o</w:t>
      </w:r>
      <w:r w:rsidRPr="003656A1">
        <w:rPr>
          <w:rFonts w:ascii="Century Gothic" w:hAnsi="Century Gothic"/>
        </w:rPr>
        <w:t>’s role in training and supporting teaching staff means that regular feedback from departments can inform whole-school CPD and training initiatives. By understanding the challenges and successes faced by SEND students in different subjects, the SEN</w:t>
      </w:r>
      <w:r>
        <w:rPr>
          <w:rFonts w:ascii="Century Gothic" w:hAnsi="Century Gothic"/>
        </w:rPr>
        <w:t>D</w:t>
      </w:r>
      <w:r w:rsidRPr="003656A1">
        <w:rPr>
          <w:rFonts w:ascii="Century Gothic" w:hAnsi="Century Gothic"/>
        </w:rPr>
        <w:t>C</w:t>
      </w:r>
      <w:r>
        <w:rPr>
          <w:rFonts w:ascii="Century Gothic" w:hAnsi="Century Gothic"/>
        </w:rPr>
        <w:t>o</w:t>
      </w:r>
      <w:r w:rsidRPr="003656A1">
        <w:rPr>
          <w:rFonts w:ascii="Century Gothic" w:hAnsi="Century Gothic"/>
        </w:rPr>
        <w:t xml:space="preserve"> can tailor training to address specific needs, further enhancing the quality of SEND provision across the school.</w:t>
      </w:r>
    </w:p>
    <w:p w14:paraId="23870268" w14:textId="77777777" w:rsidR="00F41049" w:rsidRPr="003656A1" w:rsidRDefault="00F41049" w:rsidP="00F41049">
      <w:pPr>
        <w:rPr>
          <w:rFonts w:ascii="Century Gothic" w:hAnsi="Century Gothic"/>
        </w:rPr>
      </w:pPr>
    </w:p>
    <w:p w14:paraId="0D741B63" w14:textId="77777777" w:rsidR="00F41049" w:rsidRDefault="00F41049" w:rsidP="00F41049">
      <w:pPr>
        <w:rPr>
          <w:rFonts w:ascii="Century Gothic" w:hAnsi="Century Gothic"/>
        </w:rPr>
      </w:pPr>
      <w:r>
        <w:rPr>
          <w:rFonts w:ascii="Century Gothic" w:hAnsi="Century Gothic"/>
        </w:rPr>
        <w:t>By</w:t>
      </w:r>
      <w:r w:rsidRPr="003656A1">
        <w:rPr>
          <w:rFonts w:ascii="Century Gothic" w:hAnsi="Century Gothic"/>
        </w:rPr>
        <w:t xml:space="preserve"> ensuring that all departments monitor SEND students and share their findings with the SEN</w:t>
      </w:r>
      <w:r>
        <w:rPr>
          <w:rFonts w:ascii="Century Gothic" w:hAnsi="Century Gothic"/>
        </w:rPr>
        <w:t>D</w:t>
      </w:r>
      <w:r w:rsidRPr="003656A1">
        <w:rPr>
          <w:rFonts w:ascii="Century Gothic" w:hAnsi="Century Gothic"/>
        </w:rPr>
        <w:t>C</w:t>
      </w:r>
      <w:r>
        <w:rPr>
          <w:rFonts w:ascii="Century Gothic" w:hAnsi="Century Gothic"/>
        </w:rPr>
        <w:t>o</w:t>
      </w:r>
      <w:r w:rsidRPr="003656A1">
        <w:rPr>
          <w:rFonts w:ascii="Century Gothic" w:hAnsi="Century Gothic"/>
        </w:rPr>
        <w:t>, schools can comply with their statutory duties while</w:t>
      </w:r>
      <w:r>
        <w:rPr>
          <w:rFonts w:ascii="Century Gothic" w:hAnsi="Century Gothic"/>
        </w:rPr>
        <w:t xml:space="preserve"> maintaining</w:t>
      </w:r>
      <w:r w:rsidRPr="003656A1">
        <w:rPr>
          <w:rFonts w:ascii="Century Gothic" w:hAnsi="Century Gothic"/>
        </w:rPr>
        <w:t xml:space="preserve"> a truly inclusive learning environment. This collaborative approach is not just about fulfilling legal requirements but about ensuring every SEND student receives the individuali</w:t>
      </w:r>
      <w:r>
        <w:rPr>
          <w:rFonts w:ascii="Century Gothic" w:hAnsi="Century Gothic"/>
        </w:rPr>
        <w:t>s</w:t>
      </w:r>
      <w:r w:rsidRPr="003656A1">
        <w:rPr>
          <w:rFonts w:ascii="Century Gothic" w:hAnsi="Century Gothic"/>
        </w:rPr>
        <w:t xml:space="preserve">ed support they </w:t>
      </w:r>
      <w:r>
        <w:rPr>
          <w:rFonts w:ascii="Century Gothic" w:hAnsi="Century Gothic"/>
        </w:rPr>
        <w:t>need</w:t>
      </w:r>
      <w:r w:rsidRPr="003656A1">
        <w:rPr>
          <w:rFonts w:ascii="Century Gothic" w:hAnsi="Century Gothic"/>
        </w:rPr>
        <w:t>, helping them to thrive in all areas of the curriculum.</w:t>
      </w:r>
    </w:p>
    <w:p w14:paraId="3A4B6302" w14:textId="77777777" w:rsidR="00F41049" w:rsidRPr="003656A1" w:rsidRDefault="00F41049" w:rsidP="00F41049">
      <w:pPr>
        <w:rPr>
          <w:rFonts w:ascii="Century Gothic" w:hAnsi="Century Gothic"/>
        </w:rPr>
      </w:pPr>
    </w:p>
    <w:p w14:paraId="7922067C" w14:textId="77777777" w:rsidR="00F41049" w:rsidRPr="003656A1" w:rsidRDefault="00F41049" w:rsidP="00F41049">
      <w:pPr>
        <w:rPr>
          <w:rFonts w:ascii="Century Gothic" w:hAnsi="Century Gothic"/>
        </w:rPr>
      </w:pPr>
      <w:r>
        <w:rPr>
          <w:rFonts w:ascii="Century Gothic" w:hAnsi="Century Gothic"/>
        </w:rPr>
        <w:t>Ultimately</w:t>
      </w:r>
      <w:r w:rsidRPr="003656A1">
        <w:rPr>
          <w:rFonts w:ascii="Century Gothic" w:hAnsi="Century Gothic"/>
        </w:rPr>
        <w:t>, the monitoring of SEND by each curriculum department is a critical tool in promoting inclusion and educational success for all students. By consistently sharing this information with the SEN</w:t>
      </w:r>
      <w:r>
        <w:rPr>
          <w:rFonts w:ascii="Century Gothic" w:hAnsi="Century Gothic"/>
        </w:rPr>
        <w:t>D</w:t>
      </w:r>
      <w:r w:rsidRPr="003656A1">
        <w:rPr>
          <w:rFonts w:ascii="Century Gothic" w:hAnsi="Century Gothic"/>
        </w:rPr>
        <w:t>C</w:t>
      </w:r>
      <w:r>
        <w:rPr>
          <w:rFonts w:ascii="Century Gothic" w:hAnsi="Century Gothic"/>
        </w:rPr>
        <w:t>o</w:t>
      </w:r>
      <w:r w:rsidRPr="003656A1">
        <w:rPr>
          <w:rFonts w:ascii="Century Gothic" w:hAnsi="Century Gothic"/>
        </w:rPr>
        <w:t>, schools can ensure that SEND provision is coordinated, effective, and aligned with both legal responsibilities and the best interests of</w:t>
      </w:r>
      <w:r>
        <w:rPr>
          <w:rFonts w:ascii="Century Gothic" w:hAnsi="Century Gothic"/>
        </w:rPr>
        <w:t xml:space="preserve"> all</w:t>
      </w:r>
      <w:r w:rsidRPr="003656A1">
        <w:rPr>
          <w:rFonts w:ascii="Century Gothic" w:hAnsi="Century Gothic"/>
        </w:rPr>
        <w:t xml:space="preserve"> students.</w:t>
      </w:r>
    </w:p>
    <w:p w14:paraId="33C8BF67" w14:textId="77777777" w:rsidR="00E678A4" w:rsidRPr="00F41049" w:rsidRDefault="00E678A4">
      <w:pPr>
        <w:rPr>
          <w:rFonts w:ascii="Century Gothic" w:hAnsi="Century Gothic"/>
        </w:rPr>
      </w:pPr>
    </w:p>
    <w:sectPr w:rsidR="00E678A4" w:rsidRPr="00F41049" w:rsidSect="009721FC">
      <w:foot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D854F" w14:textId="77777777" w:rsidR="00605A55" w:rsidRDefault="00605A55" w:rsidP="00E82BA0">
      <w:r>
        <w:separator/>
      </w:r>
    </w:p>
  </w:endnote>
  <w:endnote w:type="continuationSeparator" w:id="0">
    <w:p w14:paraId="01E99E90" w14:textId="77777777" w:rsidR="00605A55" w:rsidRDefault="00605A55" w:rsidP="00E82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6FCD5" w14:textId="343C165B" w:rsidR="00E82BA0" w:rsidRDefault="00E82BA0">
    <w:pPr>
      <w:pStyle w:val="Footer"/>
    </w:pPr>
    <w:r>
      <w:rPr>
        <w:noProof/>
      </w:rPr>
      <w:drawing>
        <wp:inline distT="0" distB="0" distL="0" distR="0" wp14:anchorId="00327AC1" wp14:editId="30AF8921">
          <wp:extent cx="5727700" cy="1092200"/>
          <wp:effectExtent l="0" t="0" r="0" b="0"/>
          <wp:docPr id="350663609" name="Picture 1" descr="A logo with colorful circl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663609" name="Picture 1" descr="A logo with colorful circles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27700" cy="1092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31600" w14:textId="77777777" w:rsidR="00605A55" w:rsidRDefault="00605A55" w:rsidP="00E82BA0">
      <w:r>
        <w:separator/>
      </w:r>
    </w:p>
  </w:footnote>
  <w:footnote w:type="continuationSeparator" w:id="0">
    <w:p w14:paraId="7FA73C92" w14:textId="77777777" w:rsidR="00605A55" w:rsidRDefault="00605A55" w:rsidP="00E82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49"/>
    <w:rsid w:val="002B02B8"/>
    <w:rsid w:val="003A7B62"/>
    <w:rsid w:val="003D6A42"/>
    <w:rsid w:val="00605A55"/>
    <w:rsid w:val="006D2E36"/>
    <w:rsid w:val="0082385D"/>
    <w:rsid w:val="009214C1"/>
    <w:rsid w:val="009721FC"/>
    <w:rsid w:val="00AE2205"/>
    <w:rsid w:val="00D32F47"/>
    <w:rsid w:val="00DA59CA"/>
    <w:rsid w:val="00E678A4"/>
    <w:rsid w:val="00E82BA0"/>
    <w:rsid w:val="00F41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18B9EF"/>
  <w15:chartTrackingRefBased/>
  <w15:docId w15:val="{91868EDE-62B0-774A-BF49-33257C2D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049"/>
  </w:style>
  <w:style w:type="paragraph" w:styleId="Heading1">
    <w:name w:val="heading 1"/>
    <w:basedOn w:val="Normal"/>
    <w:next w:val="Normal"/>
    <w:link w:val="Heading1Char"/>
    <w:uiPriority w:val="9"/>
    <w:qFormat/>
    <w:rsid w:val="00F410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0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0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0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0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0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0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0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0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0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0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0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0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0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0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0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0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049"/>
    <w:rPr>
      <w:rFonts w:eastAsiaTheme="majorEastAsia" w:cstheme="majorBidi"/>
      <w:color w:val="272727" w:themeColor="text1" w:themeTint="D8"/>
    </w:rPr>
  </w:style>
  <w:style w:type="paragraph" w:styleId="Title">
    <w:name w:val="Title"/>
    <w:basedOn w:val="Normal"/>
    <w:next w:val="Normal"/>
    <w:link w:val="TitleChar"/>
    <w:uiPriority w:val="10"/>
    <w:qFormat/>
    <w:rsid w:val="00F410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0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04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0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0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1049"/>
    <w:rPr>
      <w:i/>
      <w:iCs/>
      <w:color w:val="404040" w:themeColor="text1" w:themeTint="BF"/>
    </w:rPr>
  </w:style>
  <w:style w:type="paragraph" w:styleId="ListParagraph">
    <w:name w:val="List Paragraph"/>
    <w:basedOn w:val="Normal"/>
    <w:uiPriority w:val="34"/>
    <w:qFormat/>
    <w:rsid w:val="00F41049"/>
    <w:pPr>
      <w:ind w:left="720"/>
      <w:contextualSpacing/>
    </w:pPr>
  </w:style>
  <w:style w:type="character" w:styleId="IntenseEmphasis">
    <w:name w:val="Intense Emphasis"/>
    <w:basedOn w:val="DefaultParagraphFont"/>
    <w:uiPriority w:val="21"/>
    <w:qFormat/>
    <w:rsid w:val="00F41049"/>
    <w:rPr>
      <w:i/>
      <w:iCs/>
      <w:color w:val="0F4761" w:themeColor="accent1" w:themeShade="BF"/>
    </w:rPr>
  </w:style>
  <w:style w:type="paragraph" w:styleId="IntenseQuote">
    <w:name w:val="Intense Quote"/>
    <w:basedOn w:val="Normal"/>
    <w:next w:val="Normal"/>
    <w:link w:val="IntenseQuoteChar"/>
    <w:uiPriority w:val="30"/>
    <w:qFormat/>
    <w:rsid w:val="00F410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049"/>
    <w:rPr>
      <w:i/>
      <w:iCs/>
      <w:color w:val="0F4761" w:themeColor="accent1" w:themeShade="BF"/>
    </w:rPr>
  </w:style>
  <w:style w:type="character" w:styleId="IntenseReference">
    <w:name w:val="Intense Reference"/>
    <w:basedOn w:val="DefaultParagraphFont"/>
    <w:uiPriority w:val="32"/>
    <w:qFormat/>
    <w:rsid w:val="00F41049"/>
    <w:rPr>
      <w:b/>
      <w:bCs/>
      <w:smallCaps/>
      <w:color w:val="0F4761" w:themeColor="accent1" w:themeShade="BF"/>
      <w:spacing w:val="5"/>
    </w:rPr>
  </w:style>
  <w:style w:type="paragraph" w:styleId="Header">
    <w:name w:val="header"/>
    <w:basedOn w:val="Normal"/>
    <w:link w:val="HeaderChar"/>
    <w:uiPriority w:val="99"/>
    <w:unhideWhenUsed/>
    <w:rsid w:val="00E82BA0"/>
    <w:pPr>
      <w:tabs>
        <w:tab w:val="center" w:pos="4680"/>
        <w:tab w:val="right" w:pos="9360"/>
      </w:tabs>
    </w:pPr>
  </w:style>
  <w:style w:type="character" w:customStyle="1" w:styleId="HeaderChar">
    <w:name w:val="Header Char"/>
    <w:basedOn w:val="DefaultParagraphFont"/>
    <w:link w:val="Header"/>
    <w:uiPriority w:val="99"/>
    <w:rsid w:val="00E82BA0"/>
  </w:style>
  <w:style w:type="paragraph" w:styleId="Footer">
    <w:name w:val="footer"/>
    <w:basedOn w:val="Normal"/>
    <w:link w:val="FooterChar"/>
    <w:uiPriority w:val="99"/>
    <w:unhideWhenUsed/>
    <w:rsid w:val="00E82BA0"/>
    <w:pPr>
      <w:tabs>
        <w:tab w:val="center" w:pos="4680"/>
        <w:tab w:val="right" w:pos="9360"/>
      </w:tabs>
    </w:pPr>
  </w:style>
  <w:style w:type="character" w:customStyle="1" w:styleId="FooterChar">
    <w:name w:val="Footer Char"/>
    <w:basedOn w:val="DefaultParagraphFont"/>
    <w:link w:val="Footer"/>
    <w:uiPriority w:val="99"/>
    <w:rsid w:val="00E82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15E3857CF854191AB3E7654954CD5" ma:contentTypeVersion="18" ma:contentTypeDescription="Create a new document." ma:contentTypeScope="" ma:versionID="7e19c292c35e46f7dffbbb396adecbab">
  <xsd:schema xmlns:xsd="http://www.w3.org/2001/XMLSchema" xmlns:xs="http://www.w3.org/2001/XMLSchema" xmlns:p="http://schemas.microsoft.com/office/2006/metadata/properties" xmlns:ns2="5cc79651-9d14-4b3d-95af-9c0f9d222cd2" xmlns:ns3="0ba7f71f-3309-4f36-98b0-20431c41dd62" targetNamespace="http://schemas.microsoft.com/office/2006/metadata/properties" ma:root="true" ma:fieldsID="7bb9cac8c6e6a70b32a2c652882cc4a6" ns2:_="" ns3:_="">
    <xsd:import namespace="5cc79651-9d14-4b3d-95af-9c0f9d222cd2"/>
    <xsd:import namespace="0ba7f71f-3309-4f36-98b0-20431c41dd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79651-9d14-4b3d-95af-9c0f9d222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89f2b4-3e90-4f18-acc5-f9f59fa1fe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a7f71f-3309-4f36-98b0-20431c41dd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f2995e-e174-4315-bda6-2a9b1a9480c2}" ma:internalName="TaxCatchAll" ma:showField="CatchAllData" ma:web="0ba7f71f-3309-4f36-98b0-20431c41d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c79651-9d14-4b3d-95af-9c0f9d222cd2">
      <Terms xmlns="http://schemas.microsoft.com/office/infopath/2007/PartnerControls"/>
    </lcf76f155ced4ddcb4097134ff3c332f>
    <TaxCatchAll xmlns="0ba7f71f-3309-4f36-98b0-20431c41dd62" xsi:nil="true"/>
  </documentManagement>
</p:properties>
</file>

<file path=customXml/itemProps1.xml><?xml version="1.0" encoding="utf-8"?>
<ds:datastoreItem xmlns:ds="http://schemas.openxmlformats.org/officeDocument/2006/customXml" ds:itemID="{FE809DB9-1278-4B85-91F5-60AB9FDE2320}"/>
</file>

<file path=customXml/itemProps2.xml><?xml version="1.0" encoding="utf-8"?>
<ds:datastoreItem xmlns:ds="http://schemas.openxmlformats.org/officeDocument/2006/customXml" ds:itemID="{CB2330A6-733B-4C2D-AF82-FA730E05D03E}"/>
</file>

<file path=customXml/itemProps3.xml><?xml version="1.0" encoding="utf-8"?>
<ds:datastoreItem xmlns:ds="http://schemas.openxmlformats.org/officeDocument/2006/customXml" ds:itemID="{79D8CD31-97A2-4F77-868B-2EFB97747265}"/>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4424</Characters>
  <Application>Microsoft Office Word</Application>
  <DocSecurity>0</DocSecurity>
  <Lines>36</Lines>
  <Paragraphs>10</Paragraphs>
  <ScaleCrop>false</ScaleCrop>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Halls</dc:creator>
  <cp:keywords/>
  <dc:description/>
  <cp:lastModifiedBy>Sian Halls</cp:lastModifiedBy>
  <cp:revision>2</cp:revision>
  <dcterms:created xsi:type="dcterms:W3CDTF">2024-09-25T12:16:00Z</dcterms:created>
  <dcterms:modified xsi:type="dcterms:W3CDTF">2024-09-25T12:17:00Z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0x01010021115E3857CF854191AB3E7654954CD5</vt:lpwstr>
  </property>
</Properties>
</file>